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4.png" ContentType="image/png"/>
  <Override PartName="/word/media/rId73.png" ContentType="image/png"/>
  <Override PartName="/word/media/rId72.png" ContentType="image/png"/>
  <Override PartName="/word/media/rId75.png" ContentType="image/png"/>
  <Override PartName="/word/media/image4.png" ContentType="image/png"/>
  <Override PartName="/word/media/image3.png" ContentType="image/png"/>
  <Override PartName="/word/media/image1.png" ContentType="image/png"/>
  <Override PartName="/word/media/image5.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PhD</w:t>
      </w:r>
      <w:r>
        <w:t xml:space="preserve"> </w:t>
      </w:r>
      <w:r>
        <w:t xml:space="preserve">thesis</w:t>
      </w:r>
    </w:p>
    <w:p>
      <w:pPr>
        <w:pStyle w:val="Author"/>
      </w:pPr>
      <w:r>
        <w:t xml:space="preserve">Elías</w:t>
      </w:r>
      <w:r>
        <w:t xml:space="preserve"> </w:t>
      </w:r>
      <w:r>
        <w:t xml:space="preserve">Sæbjörn</w:t>
      </w:r>
      <w:r>
        <w:t xml:space="preserve"> </w:t>
      </w:r>
      <w:r>
        <w:t xml:space="preserve">Eyþórsson</w:t>
      </w:r>
    </w:p>
    <w:p>
      <w:pPr>
        <w:pStyle w:val="Date"/>
      </w:pPr>
      <w:r>
        <w:t xml:space="preserve">2018-11-26</w:t>
      </w:r>
    </w:p>
    <w:p>
      <w:pPr>
        <w:pStyle w:val="Heading1"/>
      </w:pPr>
      <w:bookmarkStart w:id="21" w:name="preamble"/>
      <w:bookmarkEnd w:id="21"/>
      <w:r>
        <w:t xml:space="preserve">Preamble</w:t>
      </w:r>
    </w:p>
    <w:p>
      <w:pPr>
        <w:pStyle w:val="FirstParagraph"/>
      </w:pPr>
      <w:r>
        <w:t xml:space="preserve">Placeholder</w:t>
      </w:r>
    </w:p>
    <w:p>
      <w:pPr>
        <w:pStyle w:val="Heading1"/>
      </w:pPr>
      <w:bookmarkStart w:id="22" w:name="intro"/>
      <w:bookmarkEnd w:id="22"/>
      <w:r>
        <w:t xml:space="preserve">Introduction</w:t>
      </w:r>
    </w:p>
    <w:p>
      <w:pPr>
        <w:pStyle w:val="FirstParagraph"/>
      </w:pPr>
      <w:r>
        <w:t xml:space="preserve">Placeholder</w:t>
      </w:r>
    </w:p>
    <w:p>
      <w:pPr>
        <w:pStyle w:val="Heading2"/>
      </w:pPr>
      <w:bookmarkStart w:id="23" w:name="clinical-manifestations-of-streptococcus-pneumoniae"/>
      <w:bookmarkEnd w:id="23"/>
      <w:r>
        <w:t xml:space="preserve">Clinical manifestations of</w:t>
      </w:r>
      <w:r>
        <w:t xml:space="preserve"> </w:t>
      </w:r>
      <w:r>
        <w:rPr>
          <w:i/>
        </w:rPr>
        <w:t xml:space="preserve">Streptococcus pneumoniae</w:t>
      </w:r>
    </w:p>
    <w:p>
      <w:pPr>
        <w:pStyle w:val="Heading3"/>
      </w:pPr>
      <w:bookmarkStart w:id="24" w:name="acute-otitis-media"/>
      <w:bookmarkEnd w:id="24"/>
      <w:r>
        <w:t xml:space="preserve">Acute otitis media</w:t>
      </w:r>
    </w:p>
    <w:p>
      <w:pPr>
        <w:pStyle w:val="Heading4"/>
      </w:pPr>
      <w:bookmarkStart w:id="25" w:name="pathogens-implicated-in-acute-otitis-media"/>
      <w:bookmarkEnd w:id="25"/>
      <w:r>
        <w:t xml:space="preserve">Pathogens implicated in acute otitis media</w:t>
      </w:r>
    </w:p>
    <w:p>
      <w:pPr>
        <w:pStyle w:val="Heading4"/>
      </w:pPr>
      <w:bookmarkStart w:id="26" w:name="healthcare-burden-of-otitis-media"/>
      <w:bookmarkEnd w:id="26"/>
      <w:r>
        <w:t xml:space="preserve">Healthcare burden of otitis media</w:t>
      </w:r>
    </w:p>
    <w:p>
      <w:pPr>
        <w:pStyle w:val="Heading4"/>
      </w:pPr>
      <w:bookmarkStart w:id="27" w:name="tympanostomy-tube-procedures"/>
      <w:bookmarkEnd w:id="27"/>
      <w:r>
        <w:t xml:space="preserve">Tympanostomy tube procedures</w:t>
      </w:r>
    </w:p>
    <w:p>
      <w:pPr>
        <w:pStyle w:val="Heading4"/>
      </w:pPr>
      <w:bookmarkStart w:id="28" w:name="acute-otitis-media-in-iceland"/>
      <w:bookmarkEnd w:id="28"/>
      <w:r>
        <w:t xml:space="preserve">Acute otitis media in Iceland</w:t>
      </w:r>
    </w:p>
    <w:p>
      <w:pPr>
        <w:pStyle w:val="Heading3"/>
      </w:pPr>
      <w:bookmarkStart w:id="29" w:name="pneumonia"/>
      <w:bookmarkEnd w:id="29"/>
      <w:r>
        <w:t xml:space="preserve">Pneumonia</w:t>
      </w:r>
    </w:p>
    <w:p>
      <w:pPr>
        <w:pStyle w:val="Heading4"/>
      </w:pPr>
      <w:bookmarkStart w:id="30" w:name="pathogens-causing-pneumonia"/>
      <w:bookmarkEnd w:id="30"/>
      <w:r>
        <w:t xml:space="preserve">Pathogens causing pneumonia</w:t>
      </w:r>
    </w:p>
    <w:p>
      <w:pPr>
        <w:pStyle w:val="Heading4"/>
      </w:pPr>
      <w:bookmarkStart w:id="31" w:name="healthcare-burden-of-pneumonia"/>
      <w:bookmarkEnd w:id="31"/>
      <w:r>
        <w:t xml:space="preserve">Healthcare burden of pneumonia</w:t>
      </w:r>
    </w:p>
    <w:p>
      <w:pPr>
        <w:pStyle w:val="Heading4"/>
      </w:pPr>
      <w:bookmarkStart w:id="32" w:name="pneumonia-in-iceland"/>
      <w:bookmarkEnd w:id="32"/>
      <w:r>
        <w:t xml:space="preserve">Pneumonia in Iceland</w:t>
      </w:r>
    </w:p>
    <w:p>
      <w:pPr>
        <w:pStyle w:val="Heading3"/>
      </w:pPr>
      <w:bookmarkStart w:id="33" w:name="invasive-pneumococcal-disease"/>
      <w:bookmarkEnd w:id="33"/>
      <w:r>
        <w:t xml:space="preserve">Invasive pneumococcal disease</w:t>
      </w:r>
    </w:p>
    <w:p>
      <w:pPr>
        <w:pStyle w:val="Heading2"/>
      </w:pPr>
      <w:bookmarkStart w:id="34" w:name="pneumococcal-vaccines"/>
      <w:bookmarkEnd w:id="34"/>
      <w:r>
        <w:t xml:space="preserve">Pneumococcal vaccines</w:t>
      </w:r>
    </w:p>
    <w:p>
      <w:pPr>
        <w:pStyle w:val="Heading3"/>
      </w:pPr>
      <w:bookmarkStart w:id="35" w:name="a-brief-history-of-pneumococcal-vaccination"/>
      <w:bookmarkEnd w:id="35"/>
      <w:r>
        <w:t xml:space="preserve">A brief history of pneumococcal vaccination</w:t>
      </w:r>
    </w:p>
    <w:p>
      <w:pPr>
        <w:pStyle w:val="Heading3"/>
      </w:pPr>
      <w:bookmarkStart w:id="36" w:name="key-concepts-in-pneumococcal-vaccine-epidemiology"/>
      <w:bookmarkEnd w:id="36"/>
      <w:r>
        <w:t xml:space="preserve">Key concepts in pneumococcal vaccine epidemiology</w:t>
      </w:r>
    </w:p>
    <w:p>
      <w:pPr>
        <w:pStyle w:val="Heading3"/>
      </w:pPr>
      <w:bookmarkStart w:id="37" w:name="the-impact-of-pneumococcal-conjugate-vaccines-on-otitis-media"/>
      <w:bookmarkEnd w:id="37"/>
      <w:r>
        <w:t xml:space="preserve">The impact of pneumococcal conjugate vaccines on otitis media</w:t>
      </w:r>
    </w:p>
    <w:p>
      <w:pPr>
        <w:pStyle w:val="Heading4"/>
      </w:pPr>
      <w:bookmarkStart w:id="38" w:name="randomized-controlled-trials"/>
      <w:bookmarkEnd w:id="38"/>
      <w:r>
        <w:t xml:space="preserve">Randomized controlled trials</w:t>
      </w:r>
    </w:p>
    <w:p>
      <w:pPr>
        <w:pStyle w:val="Heading4"/>
      </w:pPr>
      <w:bookmarkStart w:id="39" w:name="observational-studies"/>
      <w:bookmarkEnd w:id="39"/>
      <w:r>
        <w:t xml:space="preserve">Observational studies</w:t>
      </w:r>
    </w:p>
    <w:p>
      <w:pPr>
        <w:pStyle w:val="Heading3"/>
      </w:pPr>
      <w:bookmarkStart w:id="40" w:name="the-impact-of-pneumococcal-conjugate-vaccines-on-pneumonia"/>
      <w:bookmarkEnd w:id="40"/>
      <w:r>
        <w:t xml:space="preserve">The impact of pneumococcal conjugate vaccines on pneumonia</w:t>
      </w:r>
    </w:p>
    <w:p>
      <w:pPr>
        <w:pStyle w:val="Heading3"/>
      </w:pPr>
      <w:bookmarkStart w:id="41" w:name="the-impact-of-pneumococcal-conjugate-vaccines-on-invasive-pneumococcal-disease"/>
      <w:bookmarkEnd w:id="41"/>
      <w:r>
        <w:t xml:space="preserve">The impact of pneumococcal conjugate vaccines on Invasive pneumococcal disease</w:t>
      </w:r>
    </w:p>
    <w:p>
      <w:pPr>
        <w:pStyle w:val="Heading2"/>
      </w:pPr>
      <w:bookmarkStart w:id="42" w:name="cost-effectiveness-in-the-context-of-pneumococcal-conjugate-vaccination"/>
      <w:bookmarkEnd w:id="42"/>
      <w:r>
        <w:t xml:space="preserve">Cost-effectiveness in the context of pneumococcal conjugate vaccination</w:t>
      </w:r>
    </w:p>
    <w:p>
      <w:pPr>
        <w:pStyle w:val="Heading3"/>
      </w:pPr>
      <w:bookmarkStart w:id="43" w:name="measurement-of-effectiveness-and-choice-of-health-outcomes"/>
      <w:bookmarkEnd w:id="43"/>
      <w:r>
        <w:t xml:space="preserve">Measurement of effectiveness and choice of health outcomes</w:t>
      </w:r>
    </w:p>
    <w:p>
      <w:pPr>
        <w:pStyle w:val="Heading4"/>
      </w:pPr>
      <w:bookmarkStart w:id="44" w:name="health-outcomes-considered"/>
      <w:bookmarkEnd w:id="44"/>
      <w:r>
        <w:t xml:space="preserve">Health outcomes considered</w:t>
      </w:r>
    </w:p>
    <w:p>
      <w:pPr>
        <w:pStyle w:val="Heading4"/>
      </w:pPr>
      <w:bookmarkStart w:id="45" w:name="effectiveness-of-pneumococcal-conjugate-vaccines"/>
      <w:bookmarkEnd w:id="45"/>
      <w:r>
        <w:t xml:space="preserve">Effectiveness of pneumococcal conjugate vaccines</w:t>
      </w:r>
    </w:p>
    <w:p>
      <w:pPr>
        <w:pStyle w:val="Heading3"/>
      </w:pPr>
      <w:bookmarkStart w:id="46" w:name="estimating-resources-and-cost"/>
      <w:bookmarkEnd w:id="46"/>
      <w:r>
        <w:t xml:space="preserve">Estimating resources and cost</w:t>
      </w:r>
    </w:p>
    <w:p>
      <w:pPr>
        <w:pStyle w:val="Heading1"/>
      </w:pPr>
      <w:bookmarkStart w:id="47" w:name="aims"/>
      <w:bookmarkEnd w:id="47"/>
      <w:r>
        <w:t xml:space="preserve">Aims</w:t>
      </w:r>
    </w:p>
    <w:p>
      <w:pPr>
        <w:pStyle w:val="FirstParagraph"/>
      </w:pPr>
      <w:r>
        <w:t xml:space="preserve">The aims of the thesis were to estimate the impact of PHiD-CV10 on various facets of pneumococcal disease, associated healthcare burden, and cost:</w:t>
      </w:r>
    </w:p>
    <w:p>
      <w:pPr>
        <w:pStyle w:val="Compact"/>
        <w:numPr>
          <w:numId w:val="1001"/>
          <w:ilvl w:val="0"/>
        </w:numPr>
      </w:pPr>
      <w:r>
        <w:t xml:space="preserve">The incidence of paediatric emergency department visits for otitis media with treatment failure (Paper I)</w:t>
      </w:r>
    </w:p>
    <w:p>
      <w:pPr>
        <w:pStyle w:val="Compact"/>
        <w:numPr>
          <w:numId w:val="1001"/>
          <w:ilvl w:val="0"/>
        </w:numPr>
      </w:pPr>
      <w:r>
        <w:t xml:space="preserve">The incidence of otitis media visits to primary care (Paper II)</w:t>
      </w:r>
    </w:p>
    <w:p>
      <w:pPr>
        <w:pStyle w:val="Compact"/>
        <w:numPr>
          <w:numId w:val="1001"/>
          <w:ilvl w:val="0"/>
        </w:numPr>
      </w:pPr>
      <w:r>
        <w:t xml:space="preserve">The incidence of outpatient antimicrobial prescriptions (Paper III)</w:t>
      </w:r>
    </w:p>
    <w:p>
      <w:pPr>
        <w:pStyle w:val="Compact"/>
        <w:numPr>
          <w:numId w:val="1001"/>
          <w:ilvl w:val="0"/>
        </w:numPr>
      </w:pPr>
      <w:r>
        <w:t xml:space="preserve">The incidence of tymapnostomy tube procedures (Paper IV)</w:t>
      </w:r>
    </w:p>
    <w:p>
      <w:pPr>
        <w:pStyle w:val="Compact"/>
        <w:numPr>
          <w:numId w:val="1001"/>
          <w:ilvl w:val="0"/>
        </w:numPr>
      </w:pPr>
      <w:r>
        <w:t xml:space="preserve">The incidence of hospitalizations for respiratory and invasive infections commonly associated with</w:t>
      </w:r>
      <w:r>
        <w:t xml:space="preserve"> </w:t>
      </w:r>
      <w:r>
        <w:rPr>
          <w:i/>
        </w:rPr>
        <w:t xml:space="preserve">Streptococcus pneumoniae</w:t>
      </w:r>
      <w:r>
        <w:t xml:space="preserve"> </w:t>
      </w:r>
      <w:r>
        <w:t xml:space="preserve">(Paper V)</w:t>
      </w:r>
    </w:p>
    <w:p>
      <w:pPr>
        <w:pStyle w:val="Compact"/>
        <w:numPr>
          <w:numId w:val="1001"/>
          <w:ilvl w:val="0"/>
        </w:numPr>
      </w:pPr>
      <w:r>
        <w:t xml:space="preserve">Incidence of pneumococcal disease in all age-groups and cost-benefit analysis (Paper VI)</w:t>
      </w:r>
    </w:p>
    <w:p>
      <w:pPr>
        <w:pStyle w:val="Heading1"/>
      </w:pPr>
      <w:bookmarkStart w:id="48" w:name="methods"/>
      <w:bookmarkEnd w:id="48"/>
      <w:r>
        <w:t xml:space="preserve">Materials and methods</w:t>
      </w:r>
    </w:p>
    <w:p>
      <w:pPr>
        <w:pStyle w:val="FirstParagraph"/>
      </w:pPr>
      <w:r>
        <w:t xml:space="preserve">Placeholder</w:t>
      </w:r>
    </w:p>
    <w:p>
      <w:pPr>
        <w:pStyle w:val="Heading2"/>
      </w:pPr>
      <w:bookmarkStart w:id="49" w:name="datasources"/>
      <w:bookmarkEnd w:id="49"/>
      <w:r>
        <w:t xml:space="preserve">Data collection and sources</w:t>
      </w:r>
    </w:p>
    <w:p>
      <w:pPr>
        <w:pStyle w:val="Heading3"/>
      </w:pPr>
      <w:bookmarkStart w:id="50" w:name="statisticsiceland"/>
      <w:bookmarkEnd w:id="50"/>
      <w:r>
        <w:t xml:space="preserve">Statistics Iceland</w:t>
      </w:r>
    </w:p>
    <w:p>
      <w:pPr>
        <w:pStyle w:val="Heading3"/>
      </w:pPr>
      <w:bookmarkStart w:id="51" w:name="patientregistry"/>
      <w:bookmarkEnd w:id="51"/>
      <w:r>
        <w:t xml:space="preserve">Landspitali University Hospital patient registry</w:t>
      </w:r>
    </w:p>
    <w:p>
      <w:pPr>
        <w:pStyle w:val="Heading3"/>
      </w:pPr>
      <w:bookmarkStart w:id="52" w:name="primarycareregistry"/>
      <w:bookmarkEnd w:id="52"/>
      <w:r>
        <w:t xml:space="preserve">The Primary Care Registry</w:t>
      </w:r>
    </w:p>
    <w:p>
      <w:pPr>
        <w:pStyle w:val="Heading3"/>
      </w:pPr>
      <w:bookmarkStart w:id="53" w:name="vaccineregistry"/>
      <w:bookmarkEnd w:id="53"/>
      <w:r>
        <w:t xml:space="preserve">The National Vaccine Registry</w:t>
      </w:r>
    </w:p>
    <w:p>
      <w:pPr>
        <w:pStyle w:val="Heading3"/>
      </w:pPr>
      <w:bookmarkStart w:id="54" w:name="prescriptionregistry"/>
      <w:bookmarkEnd w:id="54"/>
      <w:r>
        <w:t xml:space="preserve">The National Drug Prescription Registry</w:t>
      </w:r>
    </w:p>
    <w:p>
      <w:pPr>
        <w:pStyle w:val="Heading3"/>
      </w:pPr>
      <w:bookmarkStart w:id="55" w:name="reimbursementdatabase"/>
      <w:bookmarkEnd w:id="55"/>
      <w:r>
        <w:t xml:space="preserve">Reimbursement database of Icelandic Health Insurance</w:t>
      </w:r>
    </w:p>
    <w:p>
      <w:pPr>
        <w:pStyle w:val="Heading2"/>
      </w:pPr>
      <w:bookmarkStart w:id="56" w:name="paper1"/>
      <w:bookmarkEnd w:id="56"/>
      <w:r>
        <w:t xml:space="preserve">Impact on otitis media with treatment failure (Paper I)</w:t>
      </w:r>
    </w:p>
    <w:p>
      <w:pPr>
        <w:pStyle w:val="Heading2"/>
      </w:pPr>
      <w:bookmarkStart w:id="57" w:name="paper2"/>
      <w:bookmarkEnd w:id="57"/>
      <w:r>
        <w:t xml:space="preserve">Impact on primary care visits for otitis media (Paper II)</w:t>
      </w:r>
    </w:p>
    <w:p>
      <w:pPr>
        <w:pStyle w:val="Heading2"/>
      </w:pPr>
      <w:bookmarkStart w:id="58" w:name="paper3"/>
      <w:bookmarkEnd w:id="58"/>
      <w:r>
        <w:t xml:space="preserve">Impact on outpatient antimicrobial prescriptions (Paper III)</w:t>
      </w:r>
    </w:p>
    <w:p>
      <w:pPr>
        <w:pStyle w:val="Heading2"/>
      </w:pPr>
      <w:bookmarkStart w:id="59" w:name="paper4"/>
      <w:bookmarkEnd w:id="59"/>
      <w:r>
        <w:t xml:space="preserve">Impact on tympanostomy tube procedures (Paper IV)</w:t>
      </w:r>
    </w:p>
    <w:p>
      <w:pPr>
        <w:pStyle w:val="Heading2"/>
      </w:pPr>
      <w:bookmarkStart w:id="60" w:name="paper5"/>
      <w:bookmarkEnd w:id="60"/>
      <w:r>
        <w:t xml:space="preserve">Impact on respiratory associated hospitalizations (Paper V)</w:t>
      </w:r>
    </w:p>
    <w:p>
      <w:pPr>
        <w:pStyle w:val="Heading2"/>
      </w:pPr>
      <w:bookmarkStart w:id="61" w:name="paper6"/>
      <w:bookmarkEnd w:id="61"/>
      <w:r>
        <w:t xml:space="preserve">Impact and cost-benefit analysis (Paper VI)</w:t>
      </w:r>
    </w:p>
    <w:p>
      <w:pPr>
        <w:pStyle w:val="Heading1"/>
      </w:pPr>
      <w:bookmarkStart w:id="62" w:name="results"/>
      <w:bookmarkEnd w:id="62"/>
      <w:r>
        <w:t xml:space="preserve">Results</w:t>
      </w:r>
    </w:p>
    <w:p>
      <w:pPr>
        <w:pStyle w:val="FirstParagraph"/>
      </w:pPr>
      <w:r>
        <w:t xml:space="preserve">Placeholder</w:t>
      </w:r>
    </w:p>
    <w:p>
      <w:pPr>
        <w:pStyle w:val="Heading2"/>
      </w:pPr>
      <w:bookmarkStart w:id="63" w:name="datasourcesresults"/>
      <w:bookmarkEnd w:id="63"/>
      <w:r>
        <w:t xml:space="preserve">Data collection and sources</w:t>
      </w:r>
    </w:p>
    <w:p>
      <w:pPr>
        <w:pStyle w:val="Heading3"/>
      </w:pPr>
      <w:bookmarkStart w:id="64" w:name="statistics-iceland"/>
      <w:bookmarkEnd w:id="64"/>
      <w:r>
        <w:t xml:space="preserve">Statistics Iceland</w:t>
      </w:r>
    </w:p>
    <w:p>
      <w:pPr>
        <w:pStyle w:val="Heading3"/>
      </w:pPr>
      <w:bookmarkStart w:id="65" w:name="landspitali-university-hospital-patient-registry"/>
      <w:bookmarkEnd w:id="65"/>
      <w:r>
        <w:t xml:space="preserve">Landspitali University Hospital patient registry</w:t>
      </w:r>
    </w:p>
    <w:p>
      <w:pPr>
        <w:pStyle w:val="Heading3"/>
      </w:pPr>
      <w:bookmarkStart w:id="66" w:name="the-primary-care-registry"/>
      <w:bookmarkEnd w:id="66"/>
      <w:r>
        <w:t xml:space="preserve">The Primary Care Registry</w:t>
      </w:r>
    </w:p>
    <w:p>
      <w:pPr>
        <w:pStyle w:val="Heading3"/>
      </w:pPr>
      <w:bookmarkStart w:id="67" w:name="the-national-vaccine-registry"/>
      <w:bookmarkEnd w:id="67"/>
      <w:r>
        <w:t xml:space="preserve">The National Vaccine Registry</w:t>
      </w:r>
    </w:p>
    <w:p>
      <w:pPr>
        <w:pStyle w:val="Heading3"/>
      </w:pPr>
      <w:bookmarkStart w:id="68" w:name="the-national-drug-prescription-registry"/>
      <w:bookmarkEnd w:id="68"/>
      <w:r>
        <w:t xml:space="preserve">The National Drug Prescription Registry</w:t>
      </w:r>
    </w:p>
    <w:p>
      <w:pPr>
        <w:pStyle w:val="Heading3"/>
      </w:pPr>
      <w:bookmarkStart w:id="69" w:name="reimbursement-database-of-icelandic-health-insurance"/>
      <w:bookmarkEnd w:id="69"/>
      <w:r>
        <w:t xml:space="preserve">Reimbursement database of Icelandic Health Insurance</w:t>
      </w:r>
    </w:p>
    <w:p>
      <w:pPr>
        <w:pStyle w:val="Heading2"/>
      </w:pPr>
      <w:bookmarkStart w:id="70" w:name="paper1results"/>
      <w:bookmarkEnd w:id="70"/>
      <w:r>
        <w:t xml:space="preserve">Impact on otitis media with treatment failure (Paper I)</w:t>
      </w:r>
    </w:p>
    <w:p>
      <w:pPr>
        <w:pStyle w:val="Heading2"/>
      </w:pPr>
      <w:bookmarkStart w:id="71" w:name="paper2results"/>
      <w:bookmarkEnd w:id="71"/>
      <w:r>
        <w:t xml:space="preserve">Impact on primary care visits for otitis media (Paper II)</w:t>
      </w:r>
    </w:p>
    <w:p>
      <w:pPr>
        <w:pStyle w:val="FirstParagraph"/>
      </w:pPr>
      <w:r>
        <w:t xml:space="preserve">The demographics of the study birth-cohorts are described in chapter @ref(#datasourcesresults) and Table</w:t>
      </w:r>
      <w:r>
        <w:t xml:space="preserve"> </w:t>
      </w:r>
      <w:r>
        <w:t xml:space="preserve">??</w:t>
      </w:r>
      <w:r>
        <w:t xml:space="preserve">.</w:t>
      </w:r>
      <w:r>
        <w:t xml:space="preserve"> </w:t>
      </w:r>
      <w:r>
        <w:t xml:space="preserve">A total of 92,935 primary care visits due to AOM were recorded among birth-cohorts 2005-2015 during the study period.</w:t>
      </w:r>
      <w:r>
        <w:t xml:space="preserve"> </w:t>
      </w:r>
      <w:r>
        <w:t xml:space="preserve">The crude incidence rate of AOM visits to primary care per 100 person-years in the VNEC and VEC was 45.3 and 39.8 respectively.</w:t>
      </w:r>
      <w:r>
        <w:t xml:space="preserve"> </w:t>
      </w:r>
      <w:r>
        <w:t xml:space="preserve">The incidence rate and number of AOM visits by birth-cohort, and gender is shown in Table</w:t>
      </w:r>
      <w:r>
        <w:t xml:space="preserve"> </w:t>
      </w:r>
      <w:r>
        <w:t xml:space="preserve">1</w:t>
      </w:r>
      <w:r>
        <w:t xml:space="preserve">.</w:t>
      </w:r>
    </w:p>
    <w:p>
      <w:pPr>
        <w:pStyle w:val="TableCaption"/>
      </w:pPr>
      <w:r>
        <w:t xml:space="preserve">Table 1 Incidence rate and number of visits by birth-cohort and gender</w:t>
      </w:r>
    </w:p>
    <w:tbl>
      <w:tblPr>
        <w:tblStyle w:val="TableNormal"/>
        <w:tblW w:type="pct" w:w="0.0"/>
        <w:tblLook w:firstRow="1"/>
        <w:tblCaption w:val="Table 1 Incidence rate and number of visits by birth-cohort and gender"/>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left"/>
            </w:pPr>
            <w:r>
              <w:t xml:space="preserve">Females</w:t>
            </w:r>
          </w:p>
        </w:tc>
        <w:tc>
          <w:tcPr>
            <w:tcBorders>
              <w:bottom w:val="single"/>
            </w:tcBorders>
            <w:vAlign w:val="bottom"/>
          </w:tcPr>
          <w:p>
            <w:pPr>
              <w:pStyle w:val="Compact"/>
              <w:jc w:val="left"/>
            </w:pPr>
            <w:r>
              <w:t xml:space="preserve">Males</w:t>
            </w:r>
          </w:p>
        </w:tc>
      </w:tr>
      <w:tr>
        <w:tc>
          <w:p>
            <w:pPr>
              <w:pStyle w:val="Compact"/>
              <w:jc w:val="left"/>
            </w:pPr>
            <w:r>
              <w:t xml:space="preserve">2005</w:t>
            </w:r>
          </w:p>
        </w:tc>
        <w:tc>
          <w:p>
            <w:pPr>
              <w:pStyle w:val="Compact"/>
              <w:jc w:val="left"/>
            </w:pPr>
            <w:r>
              <w:t xml:space="preserve">41.9 (2,777)</w:t>
            </w:r>
          </w:p>
        </w:tc>
        <w:tc>
          <w:p>
            <w:pPr>
              <w:pStyle w:val="Compact"/>
              <w:jc w:val="left"/>
            </w:pPr>
            <w:r>
              <w:t xml:space="preserve">49.0 (3,439)</w:t>
            </w:r>
          </w:p>
        </w:tc>
      </w:tr>
      <w:tr>
        <w:tc>
          <w:p>
            <w:pPr>
              <w:pStyle w:val="Compact"/>
              <w:jc w:val="left"/>
            </w:pPr>
            <w:r>
              <w:t xml:space="preserve">2006</w:t>
            </w:r>
          </w:p>
        </w:tc>
        <w:tc>
          <w:p>
            <w:pPr>
              <w:pStyle w:val="Compact"/>
              <w:jc w:val="left"/>
            </w:pPr>
            <w:r>
              <w:t xml:space="preserve">46.1 (3,096)</w:t>
            </w:r>
          </w:p>
        </w:tc>
        <w:tc>
          <w:p>
            <w:pPr>
              <w:pStyle w:val="Compact"/>
              <w:jc w:val="left"/>
            </w:pPr>
            <w:r>
              <w:t xml:space="preserve">50.9 (3,605)</w:t>
            </w:r>
          </w:p>
        </w:tc>
      </w:tr>
      <w:tr>
        <w:tc>
          <w:p>
            <w:pPr>
              <w:pStyle w:val="Compact"/>
              <w:jc w:val="left"/>
            </w:pPr>
            <w:r>
              <w:t xml:space="preserve">2007</w:t>
            </w:r>
          </w:p>
        </w:tc>
        <w:tc>
          <w:p>
            <w:pPr>
              <w:pStyle w:val="Compact"/>
              <w:jc w:val="left"/>
            </w:pPr>
            <w:r>
              <w:t xml:space="preserve">45.7 (3,118)</w:t>
            </w:r>
          </w:p>
        </w:tc>
        <w:tc>
          <w:p>
            <w:pPr>
              <w:pStyle w:val="Compact"/>
              <w:jc w:val="left"/>
            </w:pPr>
            <w:r>
              <w:t xml:space="preserve">50.3 (3,646)</w:t>
            </w:r>
          </w:p>
        </w:tc>
      </w:tr>
      <w:tr>
        <w:tc>
          <w:p>
            <w:pPr>
              <w:pStyle w:val="Compact"/>
              <w:jc w:val="left"/>
            </w:pPr>
            <w:r>
              <w:t xml:space="preserve">2008</w:t>
            </w:r>
          </w:p>
        </w:tc>
        <w:tc>
          <w:p>
            <w:pPr>
              <w:pStyle w:val="Compact"/>
              <w:jc w:val="left"/>
            </w:pPr>
            <w:r>
              <w:t xml:space="preserve">46.2 (3,259)</w:t>
            </w:r>
          </w:p>
        </w:tc>
        <w:tc>
          <w:p>
            <w:pPr>
              <w:pStyle w:val="Compact"/>
              <w:jc w:val="left"/>
            </w:pPr>
            <w:r>
              <w:t xml:space="preserve">45.3 (3,419)</w:t>
            </w:r>
          </w:p>
        </w:tc>
      </w:tr>
      <w:tr>
        <w:tc>
          <w:p>
            <w:pPr>
              <w:pStyle w:val="Compact"/>
              <w:jc w:val="left"/>
            </w:pPr>
            <w:r>
              <w:t xml:space="preserve">2009</w:t>
            </w:r>
          </w:p>
        </w:tc>
        <w:tc>
          <w:p>
            <w:pPr>
              <w:pStyle w:val="Compact"/>
              <w:jc w:val="left"/>
            </w:pPr>
            <w:r>
              <w:t xml:space="preserve">40.9 (2,981)</w:t>
            </w:r>
          </w:p>
        </w:tc>
        <w:tc>
          <w:p>
            <w:pPr>
              <w:pStyle w:val="Compact"/>
              <w:jc w:val="left"/>
            </w:pPr>
            <w:r>
              <w:t xml:space="preserve">47.0 (3,649)</w:t>
            </w:r>
          </w:p>
        </w:tc>
      </w:tr>
      <w:tr>
        <w:tc>
          <w:p>
            <w:pPr>
              <w:pStyle w:val="Compact"/>
              <w:jc w:val="left"/>
            </w:pPr>
            <w:r>
              <w:t xml:space="preserve">2010</w:t>
            </w:r>
          </w:p>
        </w:tc>
        <w:tc>
          <w:p>
            <w:pPr>
              <w:pStyle w:val="Compact"/>
              <w:jc w:val="left"/>
            </w:pPr>
            <w:r>
              <w:t xml:space="preserve">45.0 (3,207)</w:t>
            </w:r>
          </w:p>
        </w:tc>
        <w:tc>
          <w:p>
            <w:pPr>
              <w:pStyle w:val="Compact"/>
              <w:jc w:val="left"/>
            </w:pPr>
            <w:r>
              <w:t xml:space="preserve">47.0 (3,523)</w:t>
            </w:r>
          </w:p>
        </w:tc>
      </w:tr>
      <w:tr>
        <w:tc>
          <w:p>
            <w:pPr>
              <w:pStyle w:val="Compact"/>
              <w:jc w:val="left"/>
            </w:pPr>
            <w:r>
              <w:t xml:space="preserve">2011</w:t>
            </w:r>
          </w:p>
        </w:tc>
        <w:tc>
          <w:p>
            <w:pPr>
              <w:pStyle w:val="Compact"/>
              <w:jc w:val="left"/>
            </w:pPr>
            <w:r>
              <w:t xml:space="preserve">39.1 (2,631)</w:t>
            </w:r>
          </w:p>
        </w:tc>
        <w:tc>
          <w:p>
            <w:pPr>
              <w:pStyle w:val="Compact"/>
              <w:jc w:val="left"/>
            </w:pPr>
            <w:r>
              <w:t xml:space="preserve">44.1 (3,164)</w:t>
            </w:r>
          </w:p>
        </w:tc>
      </w:tr>
      <w:tr>
        <w:tc>
          <w:p>
            <w:pPr>
              <w:pStyle w:val="Compact"/>
              <w:jc w:val="left"/>
            </w:pPr>
            <w:r>
              <w:t xml:space="preserve">2012</w:t>
            </w:r>
          </w:p>
        </w:tc>
        <w:tc>
          <w:p>
            <w:pPr>
              <w:pStyle w:val="Compact"/>
              <w:jc w:val="left"/>
            </w:pPr>
            <w:r>
              <w:t xml:space="preserve">40.6 (2,760)</w:t>
            </w:r>
          </w:p>
        </w:tc>
        <w:tc>
          <w:p>
            <w:pPr>
              <w:pStyle w:val="Compact"/>
              <w:jc w:val="left"/>
            </w:pPr>
            <w:r>
              <w:t xml:space="preserve">41.8 (2,977)</w:t>
            </w:r>
          </w:p>
        </w:tc>
      </w:tr>
      <w:tr>
        <w:tc>
          <w:p>
            <w:pPr>
              <w:pStyle w:val="Compact"/>
              <w:jc w:val="left"/>
            </w:pPr>
            <w:r>
              <w:t xml:space="preserve">2013</w:t>
            </w:r>
          </w:p>
        </w:tc>
        <w:tc>
          <w:p>
            <w:pPr>
              <w:pStyle w:val="Compact"/>
              <w:jc w:val="left"/>
            </w:pPr>
            <w:r>
              <w:t xml:space="preserve">38.0 (2,125)</w:t>
            </w:r>
          </w:p>
        </w:tc>
        <w:tc>
          <w:p>
            <w:pPr>
              <w:pStyle w:val="Compact"/>
              <w:jc w:val="left"/>
            </w:pPr>
            <w:r>
              <w:t xml:space="preserve">42.8 (2,322)</w:t>
            </w:r>
          </w:p>
        </w:tc>
      </w:tr>
      <w:tr>
        <w:tc>
          <w:p>
            <w:pPr>
              <w:pStyle w:val="Compact"/>
              <w:jc w:val="left"/>
            </w:pPr>
            <w:r>
              <w:t xml:space="preserve">2014</w:t>
            </w:r>
          </w:p>
        </w:tc>
        <w:tc>
          <w:p>
            <w:pPr>
              <w:pStyle w:val="Compact"/>
              <w:jc w:val="left"/>
            </w:pPr>
            <w:r>
              <w:t xml:space="preserve">37.4 (1,200)</w:t>
            </w:r>
          </w:p>
        </w:tc>
        <w:tc>
          <w:p>
            <w:pPr>
              <w:pStyle w:val="Compact"/>
              <w:jc w:val="left"/>
            </w:pPr>
            <w:r>
              <w:t xml:space="preserve">44.0 (1,465)</w:t>
            </w:r>
          </w:p>
        </w:tc>
      </w:tr>
      <w:tr>
        <w:tc>
          <w:p>
            <w:pPr>
              <w:pStyle w:val="Compact"/>
              <w:jc w:val="left"/>
            </w:pPr>
            <w:r>
              <w:t xml:space="preserve">2015</w:t>
            </w:r>
          </w:p>
        </w:tc>
        <w:tc>
          <w:p>
            <w:pPr>
              <w:pStyle w:val="Compact"/>
              <w:jc w:val="left"/>
            </w:pPr>
            <w:r>
              <w:t xml:space="preserve">15.8 (157)</w:t>
            </w:r>
          </w:p>
        </w:tc>
        <w:tc>
          <w:p>
            <w:pPr>
              <w:pStyle w:val="Compact"/>
              <w:jc w:val="left"/>
            </w:pPr>
            <w:r>
              <w:t xml:space="preserve">20.8 (222)</w:t>
            </w:r>
          </w:p>
        </w:tc>
      </w:tr>
    </w:tbl>
    <w:p>
      <w:pPr>
        <w:pStyle w:val="BodyText"/>
      </w:pPr>
      <w:r>
        <w:t xml:space="preserve">The lowest incidence was observed in children zero to three months of age.</w:t>
      </w:r>
      <w:r>
        <w:t xml:space="preserve"> </w:t>
      </w:r>
      <w:r>
        <w:t xml:space="preserve">The incidence increased sharply thereafter and peaked in children eight to eleven and twelve to fifteeen months of age, after which it decreased again.</w:t>
      </w:r>
      <w:r>
        <w:t xml:space="preserve"> </w:t>
      </w:r>
      <w:r>
        <w:t xml:space="preserve">The crude IR decreased significantly in all age-groups, with incidence rate ratios ranging from 0.60-0.94.</w:t>
      </w:r>
      <w:r>
        <w:t xml:space="preserve"> </w:t>
      </w:r>
      <w:r>
        <w:t xml:space="preserve">The largest and visually most consistent decrease in incidence was noted among children zero to three months of age, IRR 0.6 (95%CI 0.51-0.69), Figure</w:t>
      </w:r>
      <w:r>
        <w:t xml:space="preserve"> </w:t>
      </w:r>
      <w:r>
        <w:t xml:space="preserve">1</w:t>
      </w:r>
    </w:p>
    <w:p>
      <w:pPr>
        <w:pStyle w:val="FigureWithCaption"/>
      </w:pPr>
      <w:r>
        <w:drawing>
          <wp:inline>
            <wp:extent cx="5676900" cy="3783932"/>
            <wp:effectExtent b="0" l="0" r="0" t="0"/>
            <wp:docPr descr="Figure 1 Incidence of acute otitis media visits to primary care by age-group and birth-cohort" title="" id="1" name="Picture"/>
            <a:graphic>
              <a:graphicData uri="http://schemas.openxmlformats.org/drawingml/2006/picture">
                <pic:pic>
                  <pic:nvPicPr>
                    <pic:cNvPr descr="_figures/paper_2/2018-11-26-incidence.png" id="0" name="Picture"/>
                    <pic:cNvPicPr>
                      <a:picLocks noChangeArrowheads="1" noChangeAspect="1"/>
                    </pic:cNvPicPr>
                  </pic:nvPicPr>
                  <pic:blipFill>
                    <a:blip r:embed="rId72"/>
                    <a:stretch>
                      <a:fillRect/>
                    </a:stretch>
                  </pic:blipFill>
                  <pic:spPr bwMode="auto">
                    <a:xfrm>
                      <a:off x="0" y="0"/>
                      <a:ext cx="5676900" cy="3783932"/>
                    </a:xfrm>
                    <a:prstGeom prst="rect">
                      <a:avLst/>
                    </a:prstGeom>
                    <a:noFill/>
                    <a:ln w="9525">
                      <a:noFill/>
                      <a:headEnd/>
                      <a:tailEnd/>
                    </a:ln>
                  </pic:spPr>
                </pic:pic>
              </a:graphicData>
            </a:graphic>
          </wp:inline>
        </w:drawing>
      </w:r>
    </w:p>
    <w:p>
      <w:pPr>
        <w:pStyle w:val="ImageCaption"/>
      </w:pPr>
      <w:r>
        <w:t xml:space="preserve">Figure 1 Incidence of acute otitis media visits to primary care by age-group and birth-cohort</w:t>
      </w:r>
    </w:p>
    <w:p>
      <w:pPr>
        <w:pStyle w:val="BodyText"/>
      </w:pPr>
      <w:r>
        <w:t xml:space="preserve">When tabulated by the cumulative number of AOM episodes experienced by each child, the proportion of children experiencing zero episodes of AOM increased in the VEC compared to the VNEC, while the proportion experiencing one to four episodes and five or more decreased, Table</w:t>
      </w:r>
      <w:r>
        <w:t xml:space="preserve"> </w:t>
      </w:r>
      <w:r>
        <w:t xml:space="preserve">2</w:t>
      </w:r>
      <w:r>
        <w:t xml:space="preserve">.</w:t>
      </w:r>
    </w:p>
    <w:p>
      <w:pPr>
        <w:pStyle w:val="TableCaption"/>
      </w:pPr>
      <w:r>
        <w:t xml:space="preserve">Table 2 Incidence rate and number of visits by birth-cohort and gender</w:t>
      </w:r>
    </w:p>
    <w:tbl>
      <w:tblPr>
        <w:tblStyle w:val="TableNormal"/>
        <w:tblW w:type="pct" w:w="0.0"/>
        <w:tblLook w:firstRow="1"/>
        <w:tblCaption w:val="Table 2 Incidence rate and number of visits by birth-cohort and gender"/>
      </w:tblPr>
      <w:tblGrid/>
      <w:tr>
        <w:trPr>
          <w:cnfStyle w:firstRow="1"/>
        </w:trPr>
        <w:tc>
          <w:tcPr>
            <w:tcBorders>
              <w:bottom w:val="single"/>
            </w:tcBorders>
            <w:vAlign w:val="bottom"/>
          </w:tcPr>
          <w:p>
            <w:pPr>
              <w:pStyle w:val="Compact"/>
              <w:jc w:val="left"/>
            </w:pPr>
            <w:r>
              <w:t xml:space="preserve">No. prescriptions</w:t>
            </w:r>
          </w:p>
        </w:tc>
        <w:tc>
          <w:tcPr>
            <w:tcBorders>
              <w:bottom w:val="single"/>
            </w:tcBorders>
            <w:vAlign w:val="bottom"/>
          </w:tcPr>
          <w:p>
            <w:pPr>
              <w:pStyle w:val="Compact"/>
              <w:jc w:val="left"/>
            </w:pPr>
            <w:r>
              <w:t xml:space="preserve">VNEC (%)</w:t>
            </w:r>
          </w:p>
        </w:tc>
        <w:tc>
          <w:tcPr>
            <w:tcBorders>
              <w:bottom w:val="single"/>
            </w:tcBorders>
            <w:vAlign w:val="bottom"/>
          </w:tcPr>
          <w:p>
            <w:pPr>
              <w:pStyle w:val="Compact"/>
              <w:jc w:val="left"/>
            </w:pPr>
            <w:r>
              <w:t xml:space="preserve">VEC (%)</w:t>
            </w:r>
          </w:p>
        </w:tc>
        <w:tc>
          <w:tcPr>
            <w:tcBorders>
              <w:bottom w:val="single"/>
            </w:tcBorders>
            <w:vAlign w:val="bottom"/>
          </w:tcPr>
          <w:p>
            <w:pPr>
              <w:pStyle w:val="Compact"/>
              <w:jc w:val="left"/>
            </w:pPr>
            <w:r>
              <w:t xml:space="preserve">Incidence risk (95%CI)</w:t>
            </w:r>
          </w:p>
        </w:tc>
      </w:tr>
      <w:tr>
        <w:tc>
          <w:p>
            <w:pPr>
              <w:pStyle w:val="Compact"/>
              <w:jc w:val="left"/>
            </w:pPr>
            <w:r>
              <w:t xml:space="preserve">0</w:t>
            </w:r>
          </w:p>
        </w:tc>
        <w:tc>
          <w:p>
            <w:pPr>
              <w:pStyle w:val="Compact"/>
              <w:jc w:val="left"/>
            </w:pPr>
            <w:r>
              <w:t xml:space="preserve">40.0</w:t>
            </w:r>
          </w:p>
        </w:tc>
        <w:tc>
          <w:p>
            <w:pPr>
              <w:pStyle w:val="Compact"/>
              <w:jc w:val="left"/>
            </w:pPr>
            <w:r>
              <w:t xml:space="preserve">43.2</w:t>
            </w:r>
          </w:p>
        </w:tc>
        <w:tc>
          <w:p>
            <w:pPr>
              <w:pStyle w:val="Compact"/>
              <w:jc w:val="left"/>
            </w:pPr>
            <w:r>
              <w:t xml:space="preserve">1.10 (1.10-1.20)</w:t>
            </w:r>
          </w:p>
        </w:tc>
      </w:tr>
      <w:tr>
        <w:tc>
          <w:p>
            <w:pPr>
              <w:pStyle w:val="Compact"/>
              <w:jc w:val="left"/>
            </w:pPr>
            <w:r>
              <w:t xml:space="preserve">1-4</w:t>
            </w:r>
          </w:p>
        </w:tc>
        <w:tc>
          <w:p>
            <w:pPr>
              <w:pStyle w:val="Compact"/>
              <w:jc w:val="left"/>
            </w:pPr>
            <w:r>
              <w:t xml:space="preserve">55.7</w:t>
            </w:r>
          </w:p>
        </w:tc>
        <w:tc>
          <w:p>
            <w:pPr>
              <w:pStyle w:val="Compact"/>
              <w:jc w:val="left"/>
            </w:pPr>
            <w:r>
              <w:t xml:space="preserve">53.2</w:t>
            </w:r>
          </w:p>
        </w:tc>
        <w:tc>
          <w:p>
            <w:pPr>
              <w:pStyle w:val="Compact"/>
              <w:jc w:val="left"/>
            </w:pPr>
            <w:r>
              <w:t xml:space="preserve">0.90 (0.88-0.93)</w:t>
            </w:r>
          </w:p>
        </w:tc>
      </w:tr>
      <w:tr>
        <w:tc>
          <w:p>
            <w:pPr>
              <w:pStyle w:val="Compact"/>
              <w:jc w:val="left"/>
            </w:pPr>
            <w:r>
              <w:t xml:space="preserve">5-12</w:t>
            </w:r>
          </w:p>
        </w:tc>
        <w:tc>
          <w:p>
            <w:pPr>
              <w:pStyle w:val="Compact"/>
              <w:jc w:val="left"/>
            </w:pPr>
            <w:r>
              <w:t xml:space="preserve">4.23</w:t>
            </w:r>
          </w:p>
        </w:tc>
        <w:tc>
          <w:p>
            <w:pPr>
              <w:pStyle w:val="Compact"/>
              <w:jc w:val="left"/>
            </w:pPr>
            <w:r>
              <w:t xml:space="preserve">3.58</w:t>
            </w:r>
          </w:p>
        </w:tc>
        <w:tc>
          <w:p>
            <w:pPr>
              <w:pStyle w:val="Compact"/>
              <w:jc w:val="left"/>
            </w:pPr>
            <w:r>
              <w:t xml:space="preserve">0.84 (0.74-0.95)</w:t>
            </w:r>
          </w:p>
        </w:tc>
      </w:tr>
    </w:tbl>
    <w:p>
      <w:pPr>
        <w:pStyle w:val="BodyText"/>
      </w:pPr>
      <w:r>
        <w:t xml:space="preserve">Discrimination indices for the Andersen-Gill multiple event model were adequate, Nagelkerke’s</w:t>
      </w:r>
      <w:r>
        <w:t xml:space="preserve"> </w:t>
      </w:r>
      <m:oMath>
        <m:sSup>
          <m:e>
            <m:r>
              <m:t>R</m:t>
            </m:r>
          </m:e>
          <m:sup>
            <m:r>
              <m:t>2</m:t>
            </m:r>
          </m:sup>
        </m:sSup>
      </m:oMath>
      <w:r>
        <w:t xml:space="preserve"> </w:t>
      </w:r>
      <w:r>
        <w:t xml:space="preserve">= 0.110 and Somer’s</w:t>
      </w:r>
      <w:r>
        <w:t xml:space="preserve"> </w:t>
      </w:r>
      <m:oMath>
        <m:sSub>
          <m:e>
            <m:r>
              <m:t>D</m:t>
            </m:r>
          </m:e>
          <m:sub>
            <m:r>
              <m:t>x</m:t>
            </m:r>
            <m:r>
              <m:t>y</m:t>
            </m:r>
          </m:sub>
        </m:sSub>
      </m:oMath>
      <w:r>
        <w:t xml:space="preserve"> </w:t>
      </w:r>
      <w:r>
        <w:t xml:space="preserve">= 0.238.</w:t>
      </w:r>
      <w:r>
        <w:t xml:space="preserve"> </w:t>
      </w:r>
      <w:r>
        <w:t xml:space="preserve">A diagnostic plot of Schoenfeld residuals was used to visually assess the proportional hazard assumption for each covariate and no systematic deviations were detected.</w:t>
      </w:r>
      <w:r>
        <w:t xml:space="preserve"> </w:t>
      </w:r>
      <w:r>
        <w:t xml:space="preserve">The model was used to estimate the hazard ratio between each of the study’s birth-cohorts and the last vaccine non-eligible cohort, 2010.</w:t>
      </w:r>
      <w:r>
        <w:t xml:space="preserve"> </w:t>
      </w:r>
      <w:r>
        <w:t xml:space="preserve">There was little variation in the hazard of AOM between the VNEC.</w:t>
      </w:r>
      <w:r>
        <w:t xml:space="preserve"> </w:t>
      </w:r>
      <w:r>
        <w:t xml:space="preserve">Only the 2007 birth-cohort differed significantly, with a hazard ratio of 1.06 (95%CI 1.01-1.12) compared to the 2010 birth-cohort.</w:t>
      </w:r>
      <w:r>
        <w:t xml:space="preserve"> </w:t>
      </w:r>
      <w:r>
        <w:t xml:space="preserve">An abbrupt and significant decrease in the hazard of AOM was noted in the first vaccine eligible cohort, which continued for all remaining VEC (Figure</w:t>
      </w:r>
      <w:r>
        <w:t xml:space="preserve"> </w:t>
      </w:r>
      <w:r>
        <w:t xml:space="preserve">2</w:t>
      </w:r>
      <w:r>
        <w:t xml:space="preserve">).</w:t>
      </w:r>
      <w:r>
        <w:t xml:space="preserve"> </w:t>
      </w:r>
      <w:r>
        <w:t xml:space="preserve">The estimated impact of PHiD-CV10 on AOM visits to primary care among children under three years of age was 21% (95%CI 11%-30%).</w:t>
      </w:r>
    </w:p>
    <w:p>
      <w:pPr>
        <w:pStyle w:val="FigureWithCaption"/>
      </w:pPr>
      <w:r>
        <w:drawing>
          <wp:inline>
            <wp:extent cx="5676900" cy="3783932"/>
            <wp:effectExtent b="0" l="0" r="0" t="0"/>
            <wp:docPr descr="Figure 2 Estimated hazard ratio between each of the study’s birth-cohorts and the last vaccine non-eligible birth-cohort" title="" id="1" name="Picture"/>
            <a:graphic>
              <a:graphicData uri="http://schemas.openxmlformats.org/drawingml/2006/picture">
                <pic:pic>
                  <pic:nvPicPr>
                    <pic:cNvPr descr="_figures/paper_2/2018-11-26-hazardratio.png" id="0" name="Picture"/>
                    <pic:cNvPicPr>
                      <a:picLocks noChangeArrowheads="1" noChangeAspect="1"/>
                    </pic:cNvPicPr>
                  </pic:nvPicPr>
                  <pic:blipFill>
                    <a:blip r:embed="rId73"/>
                    <a:stretch>
                      <a:fillRect/>
                    </a:stretch>
                  </pic:blipFill>
                  <pic:spPr bwMode="auto">
                    <a:xfrm>
                      <a:off x="0" y="0"/>
                      <a:ext cx="5676900" cy="3783932"/>
                    </a:xfrm>
                    <a:prstGeom prst="rect">
                      <a:avLst/>
                    </a:prstGeom>
                    <a:noFill/>
                    <a:ln w="9525">
                      <a:noFill/>
                      <a:headEnd/>
                      <a:tailEnd/>
                    </a:ln>
                  </pic:spPr>
                </pic:pic>
              </a:graphicData>
            </a:graphic>
          </wp:inline>
        </w:drawing>
      </w:r>
    </w:p>
    <w:p>
      <w:pPr>
        <w:pStyle w:val="ImageCaption"/>
      </w:pPr>
      <w:r>
        <w:t xml:space="preserve">Figure 2 Estimated hazard ratio between each of the study’s birth-cohorts and the last vaccine non-eligible birth-cohort</w:t>
      </w:r>
    </w:p>
    <w:p>
      <w:pPr>
        <w:pStyle w:val="BodyText"/>
      </w:pPr>
      <w:r>
        <w:t xml:space="preserve">When the hazard ratio of AOM visits between VEC and VNEC was stratified by the number of previous primary care visits for AOM, the vaccine impact was descernable for children who had no or only one previous AOM visit, after which the no effect was found (Figure</w:t>
      </w:r>
      <w:r>
        <w:t xml:space="preserve"> </w:t>
      </w:r>
      <w:r>
        <w:t xml:space="preserve">3</w:t>
      </w:r>
      <w:r>
        <w:t xml:space="preserve">).</w:t>
      </w:r>
    </w:p>
    <w:p>
      <w:pPr>
        <w:pStyle w:val="FigureWithCaption"/>
      </w:pPr>
      <w:r>
        <w:drawing>
          <wp:inline>
            <wp:extent cx="5676900" cy="3783932"/>
            <wp:effectExtent b="0" l="0" r="0" t="0"/>
            <wp:docPr descr="Figure 3 Estimated hazard ratio of AOM between VEC and VNEC stratified by the number of previous visits" title="" id="1" name="Picture"/>
            <a:graphic>
              <a:graphicData uri="http://schemas.openxmlformats.org/drawingml/2006/picture">
                <pic:pic>
                  <pic:nvPicPr>
                    <pic:cNvPr descr="_figures/paper_2/2018-11-25-hr-previous.png" id="0" name="Picture"/>
                    <pic:cNvPicPr>
                      <a:picLocks noChangeArrowheads="1" noChangeAspect="1"/>
                    </pic:cNvPicPr>
                  </pic:nvPicPr>
                  <pic:blipFill>
                    <a:blip r:embed="rId74"/>
                    <a:stretch>
                      <a:fillRect/>
                    </a:stretch>
                  </pic:blipFill>
                  <pic:spPr bwMode="auto">
                    <a:xfrm>
                      <a:off x="0" y="0"/>
                      <a:ext cx="5676900" cy="3783932"/>
                    </a:xfrm>
                    <a:prstGeom prst="rect">
                      <a:avLst/>
                    </a:prstGeom>
                    <a:noFill/>
                    <a:ln w="9525">
                      <a:noFill/>
                      <a:headEnd/>
                      <a:tailEnd/>
                    </a:ln>
                  </pic:spPr>
                </pic:pic>
              </a:graphicData>
            </a:graphic>
          </wp:inline>
        </w:drawing>
      </w:r>
    </w:p>
    <w:p>
      <w:pPr>
        <w:pStyle w:val="ImageCaption"/>
      </w:pPr>
      <w:r>
        <w:t xml:space="preserve">Figure 3 Estimated hazard ratio of AOM between VEC and VNEC stratified by the number of previous visits</w:t>
      </w:r>
    </w:p>
    <w:p>
      <w:pPr>
        <w:pStyle w:val="BodyText"/>
      </w:pPr>
      <w:r>
        <w:t xml:space="preserve">The mean number of AOM visits to primary care as a function of age was caclulated using the generalized Nelson-Aalen estimate on the underlying Andersen-Gill model.</w:t>
      </w:r>
      <w:r>
        <w:t xml:space="preserve"> </w:t>
      </w:r>
      <w:r>
        <w:t xml:space="preserve">By their fourth birthday, the average child in the VNEC had experienced 1.61 episodes of AOM.</w:t>
      </w:r>
      <w:r>
        <w:t xml:space="preserve"> </w:t>
      </w:r>
      <w:r>
        <w:t xml:space="preserve">The average child in the VEC had experienced 1.37.</w:t>
      </w:r>
      <w:r>
        <w:t xml:space="preserve"> </w:t>
      </w:r>
      <w:r>
        <w:t xml:space="preserve">The mean number of AOM episodes by age is shown in Figure</w:t>
      </w:r>
      <w:r>
        <w:t xml:space="preserve"> </w:t>
      </w:r>
      <w:r>
        <w:t xml:space="preserve">4</w:t>
      </w:r>
      <w:r>
        <w:t xml:space="preserve">.</w:t>
      </w:r>
    </w:p>
    <w:p>
      <w:pPr>
        <w:pStyle w:val="FigureWithCaption"/>
      </w:pPr>
      <w:r>
        <w:drawing>
          <wp:inline>
            <wp:extent cx="5676900" cy="3783932"/>
            <wp:effectExtent b="0" l="0" r="0" t="0"/>
            <wp:docPr descr="Figure 4 Mean number of AOM episodes by age in the vaccine eligible and vaccine non-eligible cohorts" title="" id="1" name="Picture"/>
            <a:graphic>
              <a:graphicData uri="http://schemas.openxmlformats.org/drawingml/2006/picture">
                <pic:pic>
                  <pic:nvPicPr>
                    <pic:cNvPr descr="_figures/paper_2/2018-11-26-nelsonaalen.png" id="0" name="Picture"/>
                    <pic:cNvPicPr>
                      <a:picLocks noChangeArrowheads="1" noChangeAspect="1"/>
                    </pic:cNvPicPr>
                  </pic:nvPicPr>
                  <pic:blipFill>
                    <a:blip r:embed="rId75"/>
                    <a:stretch>
                      <a:fillRect/>
                    </a:stretch>
                  </pic:blipFill>
                  <pic:spPr bwMode="auto">
                    <a:xfrm>
                      <a:off x="0" y="0"/>
                      <a:ext cx="5676900" cy="3783932"/>
                    </a:xfrm>
                    <a:prstGeom prst="rect">
                      <a:avLst/>
                    </a:prstGeom>
                    <a:noFill/>
                    <a:ln w="9525">
                      <a:noFill/>
                      <a:headEnd/>
                      <a:tailEnd/>
                    </a:ln>
                  </pic:spPr>
                </pic:pic>
              </a:graphicData>
            </a:graphic>
          </wp:inline>
        </w:drawing>
      </w:r>
    </w:p>
    <w:p>
      <w:pPr>
        <w:pStyle w:val="ImageCaption"/>
      </w:pPr>
      <w:r>
        <w:t xml:space="preserve">Figure 4 Mean number of AOM episodes by age in the vaccine eligible and vaccine non-eligible cohorts</w:t>
      </w:r>
    </w:p>
    <w:p>
      <w:pPr>
        <w:pStyle w:val="Heading1"/>
      </w:pPr>
      <w:bookmarkStart w:id="76" w:name="discussion"/>
      <w:bookmarkEnd w:id="76"/>
      <w:r>
        <w:t xml:space="preserve">Discussion</w:t>
      </w:r>
    </w:p>
    <w:p>
      <w:pPr>
        <w:pStyle w:val="Compact"/>
        <w:numPr>
          <w:numId w:val="1002"/>
          <w:ilvl w:val="0"/>
        </w:numPr>
      </w:pPr>
      <w:r>
        <w:t xml:space="preserve">discuss the completeness of the data, the number of Icelanders in the study data vs. the total number of icelanders.</w:t>
      </w:r>
    </w:p>
    <w:p>
      <w:pPr>
        <w:pStyle w:val="Compact"/>
        <w:numPr>
          <w:numId w:val="1002"/>
          <w:ilvl w:val="0"/>
        </w:numPr>
      </w:pPr>
      <w:r>
        <w:t xml:space="preserve">discuss the age distribution regarding the number of visits vs hospitalizations.</w:t>
      </w:r>
    </w:p>
    <w:p>
      <w:pPr>
        <w:pStyle w:val="Compact"/>
        <w:numPr>
          <w:numId w:val="1002"/>
          <w:ilvl w:val="0"/>
        </w:numPr>
      </w:pPr>
      <w:r>
        <w:t xml:space="preserve">discuss the vaccine registry, how no difference is occurring in pneumococcal vaccinations of adults</w:t>
      </w:r>
    </w:p>
    <w:p>
      <w:pPr>
        <w:pStyle w:val="Compact"/>
        <w:numPr>
          <w:numId w:val="1002"/>
          <w:ilvl w:val="0"/>
        </w:numPr>
      </w:pPr>
      <w:r>
        <w:t xml:space="preserve">discuss how the 2009 and 2010 cohorts received vaccination late, almost like a catch-up.</w:t>
      </w:r>
    </w:p>
    <w:sectPr w:rsidR="00002D93" w:rsidSect="00864715">
      <w:type w:val="oddPage"/>
      <w:pgSz w:w="12240" w:h="15840"/>
      <w:pgMar w:top="1474" w:right="1644" w:bottom="1474" w:left="1644" w:header="680" w:footer="51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FFFFFF7C"/>
    <w:multiLevelType w:val="singleLevel"/>
    <w:tmpl w:val="BD6C8BD6"/>
    <w:lvl w:ilvl="0">
      <w:start w:val="1"/>
      <w:numFmt w:val="decimal"/>
      <w:lvlText w:val="%1."/>
      <w:lvlJc w:val="left"/>
      <w:pPr>
        <w:tabs>
          <w:tab w:val="num" w:pos="1492"/>
        </w:tabs>
        <w:ind w:left="1492" w:hanging="360"/>
      </w:pPr>
    </w:lvl>
  </w:abstractNum>
  <w:abstractNum w:abstractNumId="7">
    <w:nsid w:val="FFFFFF7D"/>
    <w:multiLevelType w:val="singleLevel"/>
    <w:tmpl w:val="1C5EC8CE"/>
    <w:lvl w:ilvl="0">
      <w:start w:val="1"/>
      <w:numFmt w:val="decimal"/>
      <w:lvlText w:val="%1."/>
      <w:lvlJc w:val="left"/>
      <w:pPr>
        <w:tabs>
          <w:tab w:val="num" w:pos="1209"/>
        </w:tabs>
        <w:ind w:left="1209" w:hanging="360"/>
      </w:pPr>
    </w:lvl>
  </w:abstractNum>
  <w:abstractNum w:abstractNumId="8">
    <w:nsid w:val="FFFFFF7E"/>
    <w:multiLevelType w:val="singleLevel"/>
    <w:tmpl w:val="3FBC6698"/>
    <w:lvl w:ilvl="0">
      <w:start w:val="1"/>
      <w:numFmt w:val="decimal"/>
      <w:lvlText w:val="%1."/>
      <w:lvlJc w:val="left"/>
      <w:pPr>
        <w:tabs>
          <w:tab w:val="num" w:pos="926"/>
        </w:tabs>
        <w:ind w:left="926" w:hanging="360"/>
      </w:pPr>
    </w:lvl>
  </w:abstractNum>
  <w:abstractNum w:abstractNumId="9">
    <w:nsid w:val="FFFFFF7F"/>
    <w:multiLevelType w:val="singleLevel"/>
    <w:tmpl w:val="74FEA27E"/>
    <w:lvl w:ilvl="0">
      <w:start w:val="1"/>
      <w:numFmt w:val="decimal"/>
      <w:lvlText w:val="%1."/>
      <w:lvlJc w:val="left"/>
      <w:pPr>
        <w:tabs>
          <w:tab w:val="num" w:pos="643"/>
        </w:tabs>
        <w:ind w:left="643" w:hanging="360"/>
      </w:pPr>
    </w:lvl>
  </w:abstractNum>
  <w:abstractNum w:abstractNumId="10">
    <w:nsid w:val="FFFFFF80"/>
    <w:multiLevelType w:val="singleLevel"/>
    <w:tmpl w:val="BDCCDB7E"/>
    <w:lvl w:ilvl="0">
      <w:start w:val="1"/>
      <w:numFmt w:val="bullet"/>
      <w:lvlText w:val=""/>
      <w:lvlJc w:val="left"/>
      <w:pPr>
        <w:tabs>
          <w:tab w:val="num" w:pos="1492"/>
        </w:tabs>
        <w:ind w:left="1492" w:hanging="360"/>
      </w:pPr>
      <w:rPr>
        <w:rFonts w:ascii="Symbol" w:hAnsi="Symbol" w:hint="default"/>
      </w:rPr>
    </w:lvl>
  </w:abstractNum>
  <w:abstractNum w:abstractNumId="11">
    <w:nsid w:val="FFFFFF81"/>
    <w:multiLevelType w:val="singleLevel"/>
    <w:tmpl w:val="1BD08098"/>
    <w:lvl w:ilvl="0">
      <w:start w:val="1"/>
      <w:numFmt w:val="bullet"/>
      <w:lvlText w:val=""/>
      <w:lvlJc w:val="left"/>
      <w:pPr>
        <w:tabs>
          <w:tab w:val="num" w:pos="1209"/>
        </w:tabs>
        <w:ind w:left="1209" w:hanging="360"/>
      </w:pPr>
      <w:rPr>
        <w:rFonts w:ascii="Symbol" w:hAnsi="Symbol" w:hint="default"/>
      </w:rPr>
    </w:lvl>
  </w:abstractNum>
  <w:abstractNum w:abstractNumId="12">
    <w:nsid w:val="FFFFFF82"/>
    <w:multiLevelType w:val="singleLevel"/>
    <w:tmpl w:val="DCA0A724"/>
    <w:lvl w:ilvl="0">
      <w:start w:val="1"/>
      <w:numFmt w:val="bullet"/>
      <w:lvlText w:val=""/>
      <w:lvlJc w:val="left"/>
      <w:pPr>
        <w:tabs>
          <w:tab w:val="num" w:pos="926"/>
        </w:tabs>
        <w:ind w:left="926" w:hanging="360"/>
      </w:pPr>
      <w:rPr>
        <w:rFonts w:ascii="Symbol" w:hAnsi="Symbol" w:hint="default"/>
      </w:rPr>
    </w:lvl>
  </w:abstractNum>
  <w:abstractNum w:abstractNumId="13">
    <w:nsid w:val="FFFFFF83"/>
    <w:multiLevelType w:val="singleLevel"/>
    <w:tmpl w:val="7B922538"/>
    <w:lvl w:ilvl="0">
      <w:start w:val="1"/>
      <w:numFmt w:val="bullet"/>
      <w:lvlText w:val=""/>
      <w:lvlJc w:val="left"/>
      <w:pPr>
        <w:tabs>
          <w:tab w:val="num" w:pos="643"/>
        </w:tabs>
        <w:ind w:left="643" w:hanging="360"/>
      </w:pPr>
      <w:rPr>
        <w:rFonts w:ascii="Symbol" w:hAnsi="Symbol" w:hint="default"/>
      </w:rPr>
    </w:lvl>
  </w:abstractNum>
  <w:abstractNum w:abstractNumId="14">
    <w:nsid w:val="FFFFFF88"/>
    <w:multiLevelType w:val="singleLevel"/>
    <w:tmpl w:val="5E405AF4"/>
    <w:lvl w:ilvl="0">
      <w:start w:val="1"/>
      <w:numFmt w:val="decimal"/>
      <w:lvlText w:val="%1."/>
      <w:lvlJc w:val="left"/>
      <w:pPr>
        <w:tabs>
          <w:tab w:val="num" w:pos="360"/>
        </w:tabs>
        <w:ind w:left="360" w:hanging="360"/>
      </w:pPr>
    </w:lvl>
  </w:abstractNum>
  <w:abstractNum w:abstractNumId="15">
    <w:nsid w:val="FFFFFF89"/>
    <w:multiLevelType w:val="singleLevel"/>
    <w:tmpl w:val="20500572"/>
    <w:lvl w:ilvl="0">
      <w:start w:val="1"/>
      <w:numFmt w:val="bullet"/>
      <w:lvlText w:val=""/>
      <w:lvlJc w:val="left"/>
      <w:pPr>
        <w:tabs>
          <w:tab w:val="num" w:pos="360"/>
        </w:tabs>
        <w:ind w:left="360" w:hanging="360"/>
      </w:pPr>
      <w:rPr>
        <w:rFonts w:ascii="Symbol" w:hAnsi="Symbol" w:hint="default"/>
      </w:rPr>
    </w:lvl>
  </w:abstractNum>
  <w:abstractNum w:abstractNumId="16">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90">
    <w:nsid w:val="1c65c91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511">
    <w:nsid w:val="c9976aaa"/>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2d78dcb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3"/>
  </w:num>
  <w:num w:numId="2">
    <w:abstractNumId w:val="19"/>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5"/>
  </w:num>
  <w:num w:numId="6">
    <w:abstractNumId w:val="6"/>
  </w:num>
  <w:num w:numId="7">
    <w:abstractNumId w:val="7"/>
  </w:num>
  <w:num w:numId="8">
    <w:abstractNumId w:val="8"/>
  </w:num>
  <w:num w:numId="9">
    <w:abstractNumId w:val="9"/>
  </w:num>
  <w:num w:numId="10">
    <w:abstractNumId w:val="14"/>
  </w:num>
  <w:num w:numId="11">
    <w:abstractNumId w:val="10"/>
  </w:num>
  <w:num w:numId="12">
    <w:abstractNumId w:val="11"/>
  </w:num>
  <w:num w:numId="13">
    <w:abstractNumId w:val="12"/>
  </w:num>
  <w:num w:numId="14">
    <w:abstractNumId w:val="13"/>
  </w:num>
  <w:num w:numId="15">
    <w:abstractNumId w:val="15"/>
  </w:num>
  <w:num w:numId="16">
    <w:abstractNumId w:val="18"/>
  </w:num>
  <w:num w:numId="17">
    <w:abstractNumId w:val="21"/>
  </w:num>
  <w:num w:numId="18">
    <w:abstractNumId w:val="16"/>
  </w:num>
  <w:num w:numId="19">
    <w:abstractNumId w:val="20"/>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22"/>
  </w:num>
  <w:num w:numId="1000">
    <w:abstractNumId w:val="990"/>
  </w:num>
  <w:num w:numId="100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72" Target="media/rId72.png" /><Relationship Type="http://schemas.openxmlformats.org/officeDocument/2006/relationships/image" Id="rId75" Target="media/rId7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49</Pages>
  <Words>23699</Words>
  <Characters>135090</Characters>
  <Application>Microsoft Macintosh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PhD thesis</vt:lpstr>
    </vt:vector>
  </TitlesOfParts>
  <LinksUpToDate>false</LinksUpToDate>
  <CharactersWithSpaces>158473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dcterms:created xsi:type="dcterms:W3CDTF">2018-11-26T10:23:41Z</dcterms:created>
  <dcterms:modified xsi:type="dcterms:W3CDTF">2018-11-26T10:23:41Z</dcterms:modified>
</cp:coreProperties>
</file>